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E11" w:rsidRDefault="00326BDB">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CD0E11" w:rsidRDefault="00326BDB">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1.012882</w:t>
      </w:r>
    </w:p>
    <w:p w:rsidR="00CD0E11" w:rsidRDefault="00326BDB">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891/QĐ-BXD</w:t>
      </w:r>
    </w:p>
    <w:p w:rsidR="00CD0E11" w:rsidRDefault="00326BDB">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Thông báo đủ điều kiện được huy động vốn thông qua việc góp vốn, hợp tác đầu tư, hợp tác kinh doanh, liên doanh, liên kết của các tổ chức và cá nhân để phát triển nhà </w:t>
      </w:r>
      <w:r>
        <w:rPr>
          <w:rFonts w:ascii="Times New Roman" w:eastAsia="Times New Roman" w:hAnsi="Times New Roman" w:cs="Times New Roman"/>
          <w:sz w:val="26"/>
        </w:rPr>
        <w:t>ở</w:t>
      </w:r>
    </w:p>
    <w:p w:rsidR="00CD0E11" w:rsidRDefault="00326BDB">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CD0E11" w:rsidRDefault="00326BDB">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CD0E11" w:rsidRDefault="00326BDB">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CD0E11" w:rsidRDefault="00326BDB">
      <w:pPr>
        <w:spacing w:after="0" w:line="276" w:lineRule="auto"/>
        <w:jc w:val="both"/>
      </w:pPr>
      <w:r>
        <w:rPr>
          <w:rFonts w:ascii="Times New Roman" w:eastAsia="Times New Roman" w:hAnsi="Times New Roman" w:cs="Times New Roman"/>
          <w:b/>
          <w:sz w:val="26"/>
        </w:rPr>
        <w:t xml:space="preserve">Trình tự thực hiện: </w:t>
      </w:r>
    </w:p>
    <w:p w:rsidR="00CD0E11" w:rsidRDefault="00CD0E11">
      <w:pPr>
        <w:shd w:val="clear" w:color="auto" w:fill="F2F6F9"/>
        <w:spacing w:before="120" w:after="0" w:line="276" w:lineRule="auto"/>
        <w:jc w:val="both"/>
      </w:pPr>
    </w:p>
    <w:p w:rsidR="00CD0E11" w:rsidRDefault="00326BDB">
      <w:pPr>
        <w:spacing w:after="0" w:line="276" w:lineRule="auto"/>
        <w:jc w:val="both"/>
      </w:pPr>
      <w:r>
        <w:rPr>
          <w:rFonts w:ascii="Times New Roman" w:eastAsia="Times New Roman" w:hAnsi="Times New Roman" w:cs="Times New Roman"/>
          <w:sz w:val="26"/>
        </w:rPr>
        <w:t>Chủ đầu tư dự án nộp 01 bộ hồ sơ gửi trực tiếp hoặc qua dịch vụ bưu chính hoặc trực tuyến đến Sở Xây dựng nơi có dự án để được th</w:t>
      </w:r>
      <w:r>
        <w:rPr>
          <w:rFonts w:ascii="Times New Roman" w:eastAsia="Times New Roman" w:hAnsi="Times New Roman" w:cs="Times New Roman"/>
          <w:sz w:val="26"/>
        </w:rPr>
        <w:t>ông báo đủ điều kiện huy động vốn.</w:t>
      </w:r>
    </w:p>
    <w:p w:rsidR="00CD0E11" w:rsidRDefault="00326BDB">
      <w:pPr>
        <w:spacing w:after="0" w:line="276" w:lineRule="auto"/>
        <w:jc w:val="both"/>
      </w:pPr>
      <w:r>
        <w:rPr>
          <w:rFonts w:ascii="Times New Roman" w:eastAsia="Times New Roman" w:hAnsi="Times New Roman" w:cs="Times New Roman"/>
          <w:sz w:val="26"/>
        </w:rPr>
        <w:t xml:space="preserve">Trong thời hạn tối đa 15 ngày, kể từ ngày nhận được hồ sơ đề nghị của chủ đầu tư, Sở Xây dựng phải kiểm tra hồ sơ; nếu đủ giấy tờ chứng minh quy định tại khoản này thì phải có văn bản thông báo đủ điều kiện được huy động </w:t>
      </w:r>
      <w:r>
        <w:rPr>
          <w:rFonts w:ascii="Times New Roman" w:eastAsia="Times New Roman" w:hAnsi="Times New Roman" w:cs="Times New Roman"/>
          <w:sz w:val="26"/>
        </w:rPr>
        <w:t>vốn gửi chủ đầu tư và đăng tải văn bản này trên Cổng thông tin điện tử của Sở Xây dựng.</w:t>
      </w:r>
    </w:p>
    <w:p w:rsidR="00CD0E11" w:rsidRDefault="00326BDB">
      <w:pPr>
        <w:spacing w:after="0" w:line="276" w:lineRule="auto"/>
        <w:jc w:val="both"/>
      </w:pPr>
      <w:r>
        <w:rPr>
          <w:rFonts w:ascii="Times New Roman" w:eastAsia="Times New Roman" w:hAnsi="Times New Roman" w:cs="Times New Roman"/>
          <w:sz w:val="26"/>
        </w:rPr>
        <w:t>Trường hợp hồ sơ chưa đủ giấy tờ theo quy định thì trong thời hạn tối đa 10 ngày, kể từ ngày tiếp nhận hồ sơ, Sở Xây dựng phải có văn bản gửi chủ đầu tư yêu cầu bổ sung</w:t>
      </w:r>
      <w:r>
        <w:rPr>
          <w:rFonts w:ascii="Times New Roman" w:eastAsia="Times New Roman" w:hAnsi="Times New Roman" w:cs="Times New Roman"/>
          <w:sz w:val="26"/>
        </w:rPr>
        <w:t xml:space="preserve"> giấy tờ còn thiếu theo quy định, không được trả lại hồ sơ để yêu cầu nộp lại từ đầu.</w:t>
      </w:r>
    </w:p>
    <w:p w:rsidR="00CD0E11" w:rsidRDefault="00326BDB">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38"/>
        <w:gridCol w:w="1381"/>
        <w:gridCol w:w="2276"/>
        <w:gridCol w:w="4416"/>
      </w:tblGrid>
      <w:tr w:rsidR="00CD0E11">
        <w:tblPrEx>
          <w:tblCellMar>
            <w:top w:w="0" w:type="dxa"/>
            <w:bottom w:w="0" w:type="dxa"/>
          </w:tblCellMar>
        </w:tblPrEx>
        <w:tc>
          <w:tcPr>
            <w:tcW w:w="1500" w:type="dxa"/>
          </w:tcPr>
          <w:p w:rsidR="00CD0E11" w:rsidRDefault="00CD0E11"/>
          <w:p w:rsidR="00CD0E11" w:rsidRDefault="00326BDB">
            <w:pPr>
              <w:spacing w:after="0" w:line="276" w:lineRule="auto"/>
              <w:jc w:val="center"/>
            </w:pPr>
            <w:r>
              <w:rPr>
                <w:rFonts w:ascii="Times New Roman" w:eastAsia="Times New Roman" w:hAnsi="Times New Roman" w:cs="Times New Roman"/>
                <w:b/>
                <w:sz w:val="26"/>
              </w:rPr>
              <w:t>Hình thức nộp</w:t>
            </w:r>
          </w:p>
        </w:tc>
        <w:tc>
          <w:tcPr>
            <w:tcW w:w="2000" w:type="dxa"/>
          </w:tcPr>
          <w:p w:rsidR="00CD0E11" w:rsidRDefault="00CD0E11"/>
          <w:p w:rsidR="00CD0E11" w:rsidRDefault="00326BDB">
            <w:pPr>
              <w:spacing w:after="0" w:line="276" w:lineRule="auto"/>
              <w:jc w:val="center"/>
            </w:pPr>
            <w:r>
              <w:rPr>
                <w:rFonts w:ascii="Times New Roman" w:eastAsia="Times New Roman" w:hAnsi="Times New Roman" w:cs="Times New Roman"/>
                <w:b/>
                <w:sz w:val="26"/>
              </w:rPr>
              <w:t>Thời hạn giải quyết</w:t>
            </w:r>
          </w:p>
        </w:tc>
        <w:tc>
          <w:tcPr>
            <w:tcW w:w="3500" w:type="dxa"/>
          </w:tcPr>
          <w:p w:rsidR="00CD0E11" w:rsidRDefault="00CD0E11"/>
          <w:p w:rsidR="00CD0E11" w:rsidRDefault="00326BDB">
            <w:pPr>
              <w:spacing w:after="0" w:line="276" w:lineRule="auto"/>
              <w:jc w:val="center"/>
            </w:pPr>
            <w:r>
              <w:rPr>
                <w:rFonts w:ascii="Times New Roman" w:eastAsia="Times New Roman" w:hAnsi="Times New Roman" w:cs="Times New Roman"/>
                <w:b/>
                <w:sz w:val="26"/>
              </w:rPr>
              <w:t>Phí, lệ phí</w:t>
            </w:r>
          </w:p>
        </w:tc>
        <w:tc>
          <w:tcPr>
            <w:tcW w:w="3000" w:type="dxa"/>
          </w:tcPr>
          <w:p w:rsidR="00CD0E11" w:rsidRDefault="00CD0E11"/>
          <w:p w:rsidR="00CD0E11" w:rsidRDefault="00326BDB">
            <w:pPr>
              <w:spacing w:after="0" w:line="276" w:lineRule="auto"/>
              <w:jc w:val="center"/>
            </w:pPr>
            <w:r>
              <w:rPr>
                <w:rFonts w:ascii="Times New Roman" w:eastAsia="Times New Roman" w:hAnsi="Times New Roman" w:cs="Times New Roman"/>
                <w:b/>
                <w:sz w:val="26"/>
              </w:rPr>
              <w:t>Mô tả</w:t>
            </w:r>
          </w:p>
        </w:tc>
      </w:tr>
      <w:tr w:rsidR="00CD0E11">
        <w:tblPrEx>
          <w:tblCellMar>
            <w:top w:w="0" w:type="dxa"/>
            <w:bottom w:w="0" w:type="dxa"/>
          </w:tblCellMar>
        </w:tblPrEx>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Trực tiếp</w:t>
            </w:r>
          </w:p>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15 Ngày</w:t>
            </w:r>
          </w:p>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Phí : 0 Đồng (Không quy định.)</w:t>
            </w:r>
          </w:p>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 xml:space="preserve">Không quá 15 ngày, kể từ ngày cơ quan </w:t>
            </w:r>
            <w:r>
              <w:rPr>
                <w:rFonts w:ascii="Times New Roman" w:eastAsia="Times New Roman" w:hAnsi="Times New Roman" w:cs="Times New Roman"/>
                <w:sz w:val="26"/>
              </w:rPr>
              <w:t>tiếp nhận nhận đủ hồ sơ hợp lệ.</w:t>
            </w:r>
          </w:p>
        </w:tc>
      </w:tr>
      <w:tr w:rsidR="00CD0E11">
        <w:tblPrEx>
          <w:tblCellMar>
            <w:top w:w="0" w:type="dxa"/>
            <w:bottom w:w="0" w:type="dxa"/>
          </w:tblCellMar>
        </w:tblPrEx>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Trực tuyến</w:t>
            </w:r>
          </w:p>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15 Ngày</w:t>
            </w:r>
          </w:p>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Phí : 0 Đồng (Không quy định.)</w:t>
            </w:r>
          </w:p>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Không quá 15 ngày, kể từ ngày cơ quan tiếp nhận nhận đủ hồ sơ hợp lệ.</w:t>
            </w:r>
          </w:p>
        </w:tc>
      </w:tr>
      <w:tr w:rsidR="00CD0E11">
        <w:tblPrEx>
          <w:tblCellMar>
            <w:top w:w="0" w:type="dxa"/>
            <w:bottom w:w="0" w:type="dxa"/>
          </w:tblCellMar>
        </w:tblPrEx>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Dịch vụ bưu chính</w:t>
            </w:r>
          </w:p>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15 Ngày</w:t>
            </w:r>
          </w:p>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Phí : 0 Đồng (Không quy định.)</w:t>
            </w:r>
          </w:p>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Không quá 15 ngày, kể từ ngày cơ quan</w:t>
            </w:r>
            <w:r>
              <w:rPr>
                <w:rFonts w:ascii="Times New Roman" w:eastAsia="Times New Roman" w:hAnsi="Times New Roman" w:cs="Times New Roman"/>
                <w:sz w:val="26"/>
              </w:rPr>
              <w:t xml:space="preserve"> tiếp nhận nhận đủ hồ sơ hợp lệ.</w:t>
            </w:r>
          </w:p>
        </w:tc>
      </w:tr>
    </w:tbl>
    <w:p w:rsidR="00CD0E11" w:rsidRDefault="00326BDB">
      <w:pPr>
        <w:spacing w:before="240" w:after="0" w:line="276" w:lineRule="auto"/>
        <w:jc w:val="both"/>
      </w:pPr>
      <w:r>
        <w:rPr>
          <w:rFonts w:ascii="Times New Roman" w:eastAsia="Times New Roman" w:hAnsi="Times New Roman" w:cs="Times New Roman"/>
          <w:b/>
          <w:sz w:val="26"/>
        </w:rPr>
        <w:t xml:space="preserve">Thành phần hồ sơ: </w:t>
      </w:r>
    </w:p>
    <w:p w:rsidR="00CD0E11" w:rsidRDefault="00326BDB">
      <w:pPr>
        <w:shd w:val="clear" w:color="auto" w:fill="F2F6F9"/>
        <w:spacing w:before="120" w:after="0" w:line="276" w:lineRule="auto"/>
        <w:jc w:val="both"/>
      </w:pPr>
      <w:r>
        <w:rPr>
          <w:rFonts w:ascii="Times New Roman" w:eastAsia="Times New Roman" w:hAnsi="Times New Roman" w:cs="Times New Roman"/>
          <w:b/>
          <w:sz w:val="26"/>
        </w:rPr>
        <w:lastRenderedPageBreak/>
        <w:t>Hồ sơ gồm bản sao và xuất trình bản chính để đối chiếu hoặc bản sao được chứng thực hoặc bản sao điện tử có giá trị pháp lý của các giấy tờ sau:</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88"/>
        <w:gridCol w:w="861"/>
        <w:gridCol w:w="962"/>
      </w:tblGrid>
      <w:tr w:rsidR="00CD0E11">
        <w:tblPrEx>
          <w:tblCellMar>
            <w:top w:w="0" w:type="dxa"/>
            <w:bottom w:w="0" w:type="dxa"/>
          </w:tblCellMar>
        </w:tblPrEx>
        <w:tc>
          <w:tcPr>
            <w:tcW w:w="6000" w:type="dxa"/>
          </w:tcPr>
          <w:p w:rsidR="00CD0E11" w:rsidRDefault="00CD0E11"/>
          <w:p w:rsidR="00CD0E11" w:rsidRDefault="00326BDB">
            <w:pPr>
              <w:spacing w:after="0" w:line="276" w:lineRule="auto"/>
              <w:jc w:val="center"/>
            </w:pPr>
            <w:r>
              <w:rPr>
                <w:rFonts w:ascii="Times New Roman" w:eastAsia="Times New Roman" w:hAnsi="Times New Roman" w:cs="Times New Roman"/>
                <w:b/>
                <w:sz w:val="26"/>
              </w:rPr>
              <w:t>Tên giấy tờ</w:t>
            </w:r>
          </w:p>
        </w:tc>
        <w:tc>
          <w:tcPr>
            <w:tcW w:w="2000" w:type="dxa"/>
          </w:tcPr>
          <w:p w:rsidR="00CD0E11" w:rsidRDefault="00CD0E11"/>
          <w:p w:rsidR="00CD0E11" w:rsidRDefault="00326BDB">
            <w:pPr>
              <w:spacing w:after="0" w:line="276" w:lineRule="auto"/>
              <w:jc w:val="center"/>
            </w:pPr>
            <w:r>
              <w:rPr>
                <w:rFonts w:ascii="Times New Roman" w:eastAsia="Times New Roman" w:hAnsi="Times New Roman" w:cs="Times New Roman"/>
                <w:b/>
                <w:sz w:val="26"/>
              </w:rPr>
              <w:t>Mẫu đơn, tờ khai</w:t>
            </w:r>
          </w:p>
        </w:tc>
        <w:tc>
          <w:tcPr>
            <w:tcW w:w="2000" w:type="dxa"/>
          </w:tcPr>
          <w:p w:rsidR="00CD0E11" w:rsidRDefault="00CD0E11"/>
          <w:p w:rsidR="00CD0E11" w:rsidRDefault="00326BDB">
            <w:pPr>
              <w:spacing w:after="0" w:line="276" w:lineRule="auto"/>
              <w:jc w:val="center"/>
            </w:pPr>
            <w:r>
              <w:rPr>
                <w:rFonts w:ascii="Times New Roman" w:eastAsia="Times New Roman" w:hAnsi="Times New Roman" w:cs="Times New Roman"/>
                <w:b/>
                <w:sz w:val="26"/>
              </w:rPr>
              <w:t>Số lượng</w:t>
            </w:r>
          </w:p>
        </w:tc>
      </w:tr>
      <w:tr w:rsidR="00CD0E11">
        <w:tblPrEx>
          <w:tblCellMar>
            <w:top w:w="0" w:type="dxa"/>
            <w:bottom w:w="0" w:type="dxa"/>
          </w:tblCellMar>
        </w:tblPrEx>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 xml:space="preserve">- Văn bản đề </w:t>
            </w:r>
            <w:r>
              <w:rPr>
                <w:rFonts w:ascii="Times New Roman" w:eastAsia="Times New Roman" w:hAnsi="Times New Roman" w:cs="Times New Roman"/>
                <w:sz w:val="26"/>
              </w:rPr>
              <w:t>nghị của chủ đầu tư (nêu rõ các thông tin về tên chủ đầu tư, vị trí dự án, tiến độ thực hiện dự án, hình thức và mức vốn huy động, thời hạn huy động vốn).</w:t>
            </w:r>
          </w:p>
        </w:tc>
        <w:tc>
          <w:tcPr>
            <w:tcW w:w="0" w:type="auto"/>
          </w:tcPr>
          <w:p w:rsidR="00CD0E11" w:rsidRDefault="00CD0E11"/>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CD0E11">
        <w:tblPrEx>
          <w:tblCellMar>
            <w:top w:w="0" w:type="dxa"/>
            <w:bottom w:w="0" w:type="dxa"/>
          </w:tblCellMar>
        </w:tblPrEx>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 Quyết định giao đất, cho thuê đất của cơ quan có thẩm quyền hoặc có quy</w:t>
            </w:r>
            <w:r>
              <w:rPr>
                <w:rFonts w:ascii="Times New Roman" w:eastAsia="Times New Roman" w:hAnsi="Times New Roman" w:cs="Times New Roman"/>
                <w:sz w:val="26"/>
              </w:rPr>
              <w:t>ền sử dụng đất theo quy định của pháp luật về đất đaiai</w:t>
            </w:r>
          </w:p>
        </w:tc>
        <w:tc>
          <w:tcPr>
            <w:tcW w:w="0" w:type="auto"/>
          </w:tcPr>
          <w:p w:rsidR="00CD0E11" w:rsidRDefault="00CD0E11"/>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CD0E11">
        <w:tblPrEx>
          <w:tblCellMar>
            <w:top w:w="0" w:type="dxa"/>
            <w:bottom w:w="0" w:type="dxa"/>
          </w:tblCellMar>
        </w:tblPrEx>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 Trường hợp dự án đầu tư xây dựng nhà ở thuộc diện chấp thuận chủ trương đầu tư đồng thời với chấp thuận nhà đầu tư làm chủ đầu tư dự án thì phải có văn bản chấp thuận chủ</w:t>
            </w:r>
            <w:r>
              <w:rPr>
                <w:rFonts w:ascii="Times New Roman" w:eastAsia="Times New Roman" w:hAnsi="Times New Roman" w:cs="Times New Roman"/>
                <w:sz w:val="26"/>
              </w:rPr>
              <w:t xml:space="preserve"> trương đầu tư của cơ quan có thẩm quyền và đã được cơ quan có thẩm quyền cho phép chuyển mục đích sử dụng đất đối với phần đất phải chuyển mục đích sử dụng (nếu có)</w:t>
            </w:r>
          </w:p>
        </w:tc>
        <w:tc>
          <w:tcPr>
            <w:tcW w:w="0" w:type="auto"/>
          </w:tcPr>
          <w:p w:rsidR="00CD0E11" w:rsidRDefault="00CD0E11"/>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CD0E11" w:rsidRDefault="00326BDB">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rsidR="00CD0E11" w:rsidRDefault="00326BDB">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w:t>
      </w:r>
      <w:r>
        <w:rPr>
          <w:rFonts w:ascii="Times New Roman" w:eastAsia="Times New Roman" w:hAnsi="Times New Roman" w:cs="Times New Roman"/>
          <w:sz w:val="26"/>
        </w:rPr>
        <w:t>y dựng</w:t>
      </w:r>
    </w:p>
    <w:p w:rsidR="00CD0E11" w:rsidRDefault="00326BDB">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Sở Xây dựng</w:t>
      </w:r>
    </w:p>
    <w:p w:rsidR="00CD0E11" w:rsidRDefault="00326BDB">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Trung tâm phục vụ hành chính công của UBND cấp tỉnh hoặc Bộ phận tiếp nhận và trả kết quả giải quyết TTHC.</w:t>
      </w:r>
    </w:p>
    <w:p w:rsidR="00CD0E11" w:rsidRDefault="00326BDB">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CD0E11" w:rsidRDefault="00326BDB">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CD0E11" w:rsidRDefault="00326BDB">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thông báo đủ điều kiện huy động vốn cho phát triển nhà ở.</w:t>
      </w:r>
    </w:p>
    <w:p w:rsidR="00CD0E11" w:rsidRDefault="00326BDB">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22"/>
        <w:gridCol w:w="5333"/>
        <w:gridCol w:w="904"/>
        <w:gridCol w:w="1452"/>
      </w:tblGrid>
      <w:tr w:rsidR="00CD0E11">
        <w:tblPrEx>
          <w:tblCellMar>
            <w:top w:w="0" w:type="dxa"/>
            <w:bottom w:w="0" w:type="dxa"/>
          </w:tblCellMar>
        </w:tblPrEx>
        <w:tc>
          <w:tcPr>
            <w:tcW w:w="2000" w:type="dxa"/>
          </w:tcPr>
          <w:p w:rsidR="00CD0E11" w:rsidRDefault="00CD0E11"/>
          <w:p w:rsidR="00CD0E11" w:rsidRDefault="00326BDB">
            <w:pPr>
              <w:spacing w:after="0" w:line="276" w:lineRule="auto"/>
              <w:jc w:val="center"/>
            </w:pPr>
            <w:r>
              <w:rPr>
                <w:rFonts w:ascii="Times New Roman" w:eastAsia="Times New Roman" w:hAnsi="Times New Roman" w:cs="Times New Roman"/>
                <w:b/>
                <w:sz w:val="26"/>
              </w:rPr>
              <w:t>Số ký hiệu</w:t>
            </w:r>
          </w:p>
        </w:tc>
        <w:tc>
          <w:tcPr>
            <w:tcW w:w="3500" w:type="dxa"/>
          </w:tcPr>
          <w:p w:rsidR="00CD0E11" w:rsidRDefault="00CD0E11"/>
          <w:p w:rsidR="00CD0E11" w:rsidRDefault="00326BDB">
            <w:pPr>
              <w:spacing w:after="0" w:line="276" w:lineRule="auto"/>
              <w:jc w:val="center"/>
            </w:pPr>
            <w:r>
              <w:rPr>
                <w:rFonts w:ascii="Times New Roman" w:eastAsia="Times New Roman" w:hAnsi="Times New Roman" w:cs="Times New Roman"/>
                <w:b/>
                <w:sz w:val="26"/>
              </w:rPr>
              <w:t>Trích yếu</w:t>
            </w:r>
          </w:p>
        </w:tc>
        <w:tc>
          <w:tcPr>
            <w:tcW w:w="1500" w:type="dxa"/>
          </w:tcPr>
          <w:p w:rsidR="00CD0E11" w:rsidRDefault="00CD0E11"/>
          <w:p w:rsidR="00CD0E11" w:rsidRDefault="00326BDB">
            <w:pPr>
              <w:spacing w:after="0" w:line="276" w:lineRule="auto"/>
              <w:jc w:val="center"/>
            </w:pPr>
            <w:r>
              <w:rPr>
                <w:rFonts w:ascii="Times New Roman" w:eastAsia="Times New Roman" w:hAnsi="Times New Roman" w:cs="Times New Roman"/>
                <w:b/>
                <w:sz w:val="26"/>
              </w:rPr>
              <w:t>Ngày ban hành</w:t>
            </w:r>
          </w:p>
        </w:tc>
        <w:tc>
          <w:tcPr>
            <w:tcW w:w="3000" w:type="dxa"/>
          </w:tcPr>
          <w:p w:rsidR="00CD0E11" w:rsidRDefault="00CD0E11"/>
          <w:p w:rsidR="00CD0E11" w:rsidRDefault="00326BDB">
            <w:pPr>
              <w:spacing w:after="0" w:line="276" w:lineRule="auto"/>
              <w:jc w:val="center"/>
            </w:pPr>
            <w:r>
              <w:rPr>
                <w:rFonts w:ascii="Times New Roman" w:eastAsia="Times New Roman" w:hAnsi="Times New Roman" w:cs="Times New Roman"/>
                <w:b/>
                <w:sz w:val="26"/>
              </w:rPr>
              <w:t>Cơ quan ban hành</w:t>
            </w:r>
          </w:p>
        </w:tc>
      </w:tr>
      <w:tr w:rsidR="00CD0E11">
        <w:tblPrEx>
          <w:tblCellMar>
            <w:top w:w="0" w:type="dxa"/>
            <w:bottom w:w="0" w:type="dxa"/>
          </w:tblCellMar>
        </w:tblPrEx>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27/2023/QH15</w:t>
            </w:r>
          </w:p>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Luật Nhà ở số 27/2023/QH15</w:t>
            </w:r>
          </w:p>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27-11-</w:t>
            </w:r>
            <w:r>
              <w:rPr>
                <w:rFonts w:ascii="Times New Roman" w:eastAsia="Times New Roman" w:hAnsi="Times New Roman" w:cs="Times New Roman"/>
                <w:sz w:val="26"/>
              </w:rPr>
              <w:lastRenderedPageBreak/>
              <w:t>2023</w:t>
            </w:r>
          </w:p>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Quốc Hội</w:t>
            </w:r>
          </w:p>
        </w:tc>
      </w:tr>
      <w:tr w:rsidR="00CD0E11">
        <w:tblPrEx>
          <w:tblCellMar>
            <w:top w:w="0" w:type="dxa"/>
            <w:bottom w:w="0" w:type="dxa"/>
          </w:tblCellMar>
        </w:tblPrEx>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95/2024/NĐ-CP</w:t>
            </w:r>
          </w:p>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 xml:space="preserve">Nghị định số </w:t>
            </w:r>
            <w:r>
              <w:rPr>
                <w:rFonts w:ascii="Times New Roman" w:eastAsia="Times New Roman" w:hAnsi="Times New Roman" w:cs="Times New Roman"/>
                <w:sz w:val="26"/>
              </w:rPr>
              <w:t>95/2024/NĐ-CP ngày 24 tháng 7 năm 2024 của Chính phủ về quy định chi tiết một số điều của Luật Nhà ở;</w:t>
            </w:r>
          </w:p>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24-07-2024</w:t>
            </w:r>
          </w:p>
        </w:tc>
        <w:tc>
          <w:tcPr>
            <w:tcW w:w="0" w:type="auto"/>
          </w:tcPr>
          <w:p w:rsidR="00CD0E11" w:rsidRDefault="00CD0E11"/>
          <w:p w:rsidR="00CD0E11" w:rsidRDefault="00326BDB">
            <w:pPr>
              <w:spacing w:after="0" w:line="276" w:lineRule="auto"/>
            </w:pPr>
            <w:r>
              <w:rPr>
                <w:rFonts w:ascii="Times New Roman" w:eastAsia="Times New Roman" w:hAnsi="Times New Roman" w:cs="Times New Roman"/>
                <w:sz w:val="26"/>
              </w:rPr>
              <w:t>Chính phủ</w:t>
            </w:r>
          </w:p>
        </w:tc>
      </w:tr>
    </w:tbl>
    <w:p w:rsidR="00CD0E11" w:rsidRDefault="00326BDB">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Thuộc một trong các hình thức phát triển nhà ở theo dự án quy định tại khoản 1 Điều 30 của Luật Nh</w:t>
      </w:r>
      <w:r>
        <w:rPr>
          <w:rFonts w:ascii="Times New Roman" w:eastAsia="Times New Roman" w:hAnsi="Times New Roman" w:cs="Times New Roman"/>
          <w:sz w:val="26"/>
        </w:rPr>
        <w:t>à ở, trừ dự án đầu tư xây dựng kết cấu hạ tầng khu nhà ở để chuyển nhượng quyền sử dụng đất theo hình thức phân lô bán nền cho cá nhân tự xây dựng nhà ở. - Dự án đã có quyết định giao đất, cho thuê đất của cơ quan có thẩm quyền hoặc có quyền sử dụng đất th</w:t>
      </w:r>
      <w:r>
        <w:rPr>
          <w:rFonts w:ascii="Times New Roman" w:eastAsia="Times New Roman" w:hAnsi="Times New Roman" w:cs="Times New Roman"/>
          <w:sz w:val="26"/>
        </w:rPr>
        <w:t>eo quy định của pháp luật về đất đai. Trường hợp dự án đầu tư xây dựng nhà ở thuộc diện chấp thuận chủ trương đầu tư đồng thời với chấp thuận nhà đầu tư làm chủ đầu tư dự án thì phải có văn bản chấp thuận chủ trương đầu tư của cơ quan có thẩm quyền và đã đ</w:t>
      </w:r>
      <w:r>
        <w:rPr>
          <w:rFonts w:ascii="Times New Roman" w:eastAsia="Times New Roman" w:hAnsi="Times New Roman" w:cs="Times New Roman"/>
          <w:sz w:val="26"/>
        </w:rPr>
        <w:t>ược cơ quan có thẩm quyền cho phép chuyển mục đích sử dụng đất đối với phần đất phải chuyển mục đích sử dụng (nếu có).</w:t>
      </w:r>
    </w:p>
    <w:p w:rsidR="00CD0E11" w:rsidRDefault="00326BDB">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CD0E11" w:rsidRDefault="00326BDB">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CD0E1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CD0E11"/>
    <w:rsid w:val="00326BDB"/>
    <w:rsid w:val="00CD0E1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C078F8-1CE8-4663-9F79-8920F3DF4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597</Words>
  <Characters>3404</Characters>
  <Application>Microsoft Office Word</Application>
  <DocSecurity>0</DocSecurity>
  <Lines>28</Lines>
  <Paragraphs>7</Paragraphs>
  <ScaleCrop>false</ScaleCrop>
  <Company>Microsoft</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